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1B2885">
      <w:pPr>
        <w:jc w:val="center"/>
        <w:rPr>
          <w:rFonts w:hint="eastAsia"/>
          <w:b/>
          <w:bCs/>
          <w:sz w:val="30"/>
          <w:szCs w:val="30"/>
        </w:rPr>
      </w:pPr>
      <w:r>
        <w:rPr>
          <w:rFonts w:hint="eastAsia"/>
          <w:b/>
          <w:bCs/>
          <w:sz w:val="30"/>
          <w:szCs w:val="30"/>
        </w:rPr>
        <w:t>《中级财务会计（二）》期末复习题</w:t>
      </w:r>
    </w:p>
    <w:p w14:paraId="404D82B8">
      <w:pPr>
        <w:spacing w:line="360" w:lineRule="auto"/>
        <w:ind w:firstLine="5280" w:firstLineChars="2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授课老师：梁德和</w:t>
      </w:r>
    </w:p>
    <w:p w14:paraId="276E2DD5">
      <w:pPr>
        <w:spacing w:line="360" w:lineRule="auto"/>
        <w:rPr>
          <w:rFonts w:hint="eastAsia" w:ascii="宋体" w:hAnsi="宋体" w:eastAsia="宋体" w:cs="宋体"/>
          <w:sz w:val="24"/>
          <w:szCs w:val="24"/>
        </w:rPr>
      </w:pPr>
    </w:p>
    <w:p w14:paraId="7954BB21">
      <w:pPr>
        <w:spacing w:line="360" w:lineRule="auto"/>
        <w:rPr>
          <w:rFonts w:hint="eastAsia" w:ascii="宋体" w:hAnsi="宋体" w:eastAsia="宋体" w:cs="宋体"/>
          <w:sz w:val="24"/>
          <w:szCs w:val="24"/>
        </w:rPr>
      </w:pPr>
      <w:r>
        <w:rPr>
          <w:rFonts w:hint="eastAsia" w:ascii="宋体" w:hAnsi="宋体" w:eastAsia="宋体" w:cs="宋体"/>
          <w:sz w:val="24"/>
          <w:szCs w:val="24"/>
        </w:rPr>
        <w:t>1．企业财务会计规范体系中处于最高层次和核心地位的是（ ）。</w:t>
      </w:r>
    </w:p>
    <w:p w14:paraId="0BA8CC0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B.《中华人民共和国会计法》</w:t>
      </w:r>
    </w:p>
    <w:p w14:paraId="5762AF4F">
      <w:pPr>
        <w:spacing w:line="360" w:lineRule="auto"/>
        <w:rPr>
          <w:rFonts w:hint="eastAsia" w:ascii="宋体" w:hAnsi="宋体" w:eastAsia="宋体" w:cs="宋体"/>
          <w:sz w:val="24"/>
          <w:szCs w:val="24"/>
        </w:rPr>
      </w:pPr>
      <w:r>
        <w:rPr>
          <w:rFonts w:hint="eastAsia" w:ascii="宋体" w:hAnsi="宋体" w:eastAsia="宋体" w:cs="宋体"/>
          <w:sz w:val="24"/>
          <w:szCs w:val="24"/>
        </w:rPr>
        <w:t>2.某企业20X9年1月10销售产品一批，销售收入为20000元；，规定的现金折扣条件为"2／10，1／20，n／30”，适用的增值税率为17％。该企业1月26日收到该笔款项时，应给予客户的现金折扣为( )元。假设现金折扣不涉及税金。</w:t>
      </w:r>
    </w:p>
    <w:p w14:paraId="42C2C89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B.200</w:t>
      </w:r>
    </w:p>
    <w:p w14:paraId="1D1FA735">
      <w:pPr>
        <w:spacing w:line="360" w:lineRule="auto"/>
        <w:rPr>
          <w:rFonts w:hint="eastAsia" w:ascii="宋体" w:hAnsi="宋体" w:eastAsia="宋体" w:cs="宋体"/>
          <w:sz w:val="24"/>
          <w:szCs w:val="24"/>
        </w:rPr>
      </w:pPr>
      <w:r>
        <w:rPr>
          <w:rFonts w:hint="eastAsia" w:ascii="宋体" w:hAnsi="宋体" w:eastAsia="宋体" w:cs="宋体"/>
          <w:sz w:val="24"/>
          <w:szCs w:val="24"/>
        </w:rPr>
        <w:t>3.预付款项不多的企业，可以不设置"预付账款”科目，当预付款项时，可以通过（ 　）科目进行核算。</w:t>
      </w:r>
    </w:p>
    <w:p w14:paraId="67AA887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B.应付账款</w:t>
      </w:r>
    </w:p>
    <w:p w14:paraId="0100B016">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4.备抵法下，已确认的坏账又收回时，应借记（ ）科目，贷记"坏账准备”科目。 </w:t>
      </w:r>
    </w:p>
    <w:p w14:paraId="344118A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D.应收账款</w:t>
      </w:r>
    </w:p>
    <w:p w14:paraId="1D264A1B">
      <w:pPr>
        <w:spacing w:line="360" w:lineRule="auto"/>
        <w:rPr>
          <w:rFonts w:hint="eastAsia" w:ascii="宋体" w:hAnsi="宋体" w:eastAsia="宋体" w:cs="宋体"/>
          <w:sz w:val="24"/>
          <w:szCs w:val="24"/>
        </w:rPr>
      </w:pPr>
      <w:r>
        <w:rPr>
          <w:rFonts w:hint="eastAsia" w:ascii="宋体" w:hAnsi="宋体" w:eastAsia="宋体" w:cs="宋体"/>
          <w:sz w:val="24"/>
          <w:szCs w:val="24"/>
        </w:rPr>
        <w:t>5.某企业年末应收账款余额为40万元，"坏账准备”科目年末结账前为借方余额1 000元，假设该企业按5％提取坏账准备，则年末应提的坏账准备为（）元。</w:t>
      </w:r>
    </w:p>
    <w:p w14:paraId="423BD18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 C.3000</w:t>
      </w:r>
    </w:p>
    <w:p w14:paraId="3369AB72">
      <w:pPr>
        <w:spacing w:line="360" w:lineRule="auto"/>
        <w:rPr>
          <w:rFonts w:hint="eastAsia" w:ascii="宋体" w:hAnsi="宋体" w:eastAsia="宋体" w:cs="宋体"/>
          <w:sz w:val="24"/>
          <w:szCs w:val="24"/>
        </w:rPr>
      </w:pPr>
      <w:r>
        <w:rPr>
          <w:rFonts w:hint="eastAsia" w:ascii="宋体" w:hAnsi="宋体" w:eastAsia="宋体" w:cs="宋体"/>
          <w:sz w:val="24"/>
          <w:szCs w:val="24"/>
        </w:rPr>
        <w:t>6."坏账准备”科目在期末结账前如果为贷方余额，反映的内容是（ ）。</w:t>
      </w:r>
    </w:p>
    <w:p w14:paraId="3C4FB77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 A.提取的坏账准备</w:t>
      </w:r>
    </w:p>
    <w:p w14:paraId="09410D4A">
      <w:pPr>
        <w:spacing w:line="360" w:lineRule="auto"/>
        <w:rPr>
          <w:rFonts w:hint="eastAsia" w:ascii="宋体" w:hAnsi="宋体" w:eastAsia="宋体" w:cs="宋体"/>
          <w:sz w:val="24"/>
          <w:szCs w:val="24"/>
        </w:rPr>
      </w:pPr>
      <w:r>
        <w:rPr>
          <w:rFonts w:hint="eastAsia" w:ascii="宋体" w:hAnsi="宋体" w:eastAsia="宋体" w:cs="宋体"/>
          <w:sz w:val="24"/>
          <w:szCs w:val="24"/>
        </w:rPr>
        <w:t>7.下列各项中，不构成应收账款入账价值的是(　　)。</w:t>
      </w:r>
    </w:p>
    <w:p w14:paraId="5338358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B. 商业折扣</w:t>
      </w:r>
    </w:p>
    <w:p w14:paraId="51A0A3B7">
      <w:pPr>
        <w:spacing w:line="360" w:lineRule="auto"/>
        <w:rPr>
          <w:rFonts w:hint="eastAsia" w:ascii="宋体" w:hAnsi="宋体" w:eastAsia="宋体" w:cs="宋体"/>
          <w:sz w:val="24"/>
          <w:szCs w:val="24"/>
        </w:rPr>
      </w:pPr>
      <w:r>
        <w:rPr>
          <w:rFonts w:hint="eastAsia" w:ascii="宋体" w:hAnsi="宋体" w:eastAsia="宋体" w:cs="宋体"/>
          <w:sz w:val="24"/>
          <w:szCs w:val="24"/>
        </w:rPr>
        <w:t>8.甲存货月初结存数量200件，单价5元。2日发出150件，5日购进200件、单价5元；7日发出100件。企业对发出存货采用先进先出法计价，则本月7日发出甲存货的实际成本为（ ）元。</w:t>
      </w:r>
    </w:p>
    <w:p w14:paraId="6FB699F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 C. 475</w:t>
      </w:r>
    </w:p>
    <w:p w14:paraId="2646C6BE">
      <w:pPr>
        <w:spacing w:line="360" w:lineRule="auto"/>
        <w:rPr>
          <w:rFonts w:hint="eastAsia" w:ascii="宋体" w:hAnsi="宋体" w:eastAsia="宋体" w:cs="宋体"/>
          <w:sz w:val="24"/>
          <w:szCs w:val="24"/>
        </w:rPr>
      </w:pPr>
      <w:r>
        <w:rPr>
          <w:rFonts w:hint="eastAsia" w:ascii="宋体" w:hAnsi="宋体" w:eastAsia="宋体" w:cs="宋体"/>
          <w:sz w:val="24"/>
          <w:szCs w:val="24"/>
        </w:rPr>
        <w:t>9.下列不属于会计要素确认的四项基本标准的是（ ）。</w:t>
      </w:r>
    </w:p>
    <w:p w14:paraId="2F5C30F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 C.可比性</w:t>
      </w:r>
    </w:p>
    <w:p w14:paraId="33D342BC">
      <w:pPr>
        <w:spacing w:line="360" w:lineRule="auto"/>
        <w:rPr>
          <w:rFonts w:hint="eastAsia" w:ascii="宋体" w:hAnsi="宋体" w:eastAsia="宋体" w:cs="宋体"/>
          <w:sz w:val="24"/>
          <w:szCs w:val="24"/>
        </w:rPr>
      </w:pPr>
      <w:r>
        <w:rPr>
          <w:rFonts w:hint="eastAsia" w:ascii="宋体" w:hAnsi="宋体" w:eastAsia="宋体" w:cs="宋体"/>
          <w:sz w:val="24"/>
          <w:szCs w:val="24"/>
        </w:rPr>
        <w:t>10.根据我国会计准则的规定，企业在对会计要素进行计量时，一般采用（ ），采用其他计量属性的，应当保证所确定的会计要素的金额能够取得并可靠地计量</w:t>
      </w:r>
    </w:p>
    <w:p w14:paraId="072A859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 A.历史成本</w:t>
      </w:r>
    </w:p>
    <w:p w14:paraId="04EB09E6">
      <w:pPr>
        <w:spacing w:line="360" w:lineRule="auto"/>
        <w:rPr>
          <w:rFonts w:hint="eastAsia" w:ascii="宋体" w:hAnsi="宋体" w:eastAsia="宋体" w:cs="宋体"/>
          <w:sz w:val="24"/>
          <w:szCs w:val="24"/>
        </w:rPr>
      </w:pPr>
      <w:r>
        <w:rPr>
          <w:rFonts w:hint="eastAsia" w:ascii="宋体" w:hAnsi="宋体" w:eastAsia="宋体" w:cs="宋体"/>
          <w:sz w:val="24"/>
          <w:szCs w:val="24"/>
        </w:rPr>
        <w:t>11.企业在进行会计确认、计量和报告过程中不得高估资产或收益，不得低估负债和费用的处理方式，体现了（ ）要求。</w:t>
      </w:r>
    </w:p>
    <w:p w14:paraId="29F02F2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B.谨慎性</w:t>
      </w:r>
    </w:p>
    <w:p w14:paraId="4A96668B">
      <w:pPr>
        <w:spacing w:line="360" w:lineRule="auto"/>
        <w:rPr>
          <w:rFonts w:hint="eastAsia" w:ascii="宋体" w:hAnsi="宋体" w:eastAsia="宋体" w:cs="宋体"/>
          <w:sz w:val="24"/>
          <w:szCs w:val="24"/>
        </w:rPr>
      </w:pPr>
      <w:r>
        <w:rPr>
          <w:rFonts w:hint="eastAsia" w:ascii="宋体" w:hAnsi="宋体" w:eastAsia="宋体" w:cs="宋体"/>
          <w:sz w:val="24"/>
          <w:szCs w:val="24"/>
        </w:rPr>
        <w:t>12.会计上狭义的现金是指企业的（ ）。</w:t>
      </w:r>
    </w:p>
    <w:p w14:paraId="3331CE9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 A.库存现金</w:t>
      </w:r>
    </w:p>
    <w:p w14:paraId="7F778B74">
      <w:pPr>
        <w:spacing w:line="360" w:lineRule="auto"/>
        <w:rPr>
          <w:rFonts w:hint="eastAsia" w:ascii="宋体" w:hAnsi="宋体" w:eastAsia="宋体" w:cs="宋体"/>
          <w:sz w:val="24"/>
          <w:szCs w:val="24"/>
        </w:rPr>
      </w:pPr>
      <w:r>
        <w:rPr>
          <w:rFonts w:hint="eastAsia" w:ascii="宋体" w:hAnsi="宋体" w:eastAsia="宋体" w:cs="宋体"/>
          <w:sz w:val="24"/>
          <w:szCs w:val="24"/>
        </w:rPr>
        <w:t>13.下列哪个项目不通过"其他货币资金”科目核算 （ ）。</w:t>
      </w:r>
    </w:p>
    <w:p w14:paraId="3791975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C.备用金</w:t>
      </w:r>
    </w:p>
    <w:p w14:paraId="3B2457A1">
      <w:pPr>
        <w:spacing w:line="360" w:lineRule="auto"/>
        <w:rPr>
          <w:rFonts w:hint="eastAsia" w:ascii="宋体" w:hAnsi="宋体" w:eastAsia="宋体" w:cs="宋体"/>
          <w:sz w:val="24"/>
          <w:szCs w:val="24"/>
        </w:rPr>
      </w:pPr>
      <w:r>
        <w:rPr>
          <w:rFonts w:hint="eastAsia" w:ascii="宋体" w:hAnsi="宋体" w:eastAsia="宋体" w:cs="宋体"/>
          <w:sz w:val="24"/>
          <w:szCs w:val="24"/>
        </w:rPr>
        <w:t>14.下列各项中，不会引起其他货币资金发生变动的是（ ）。</w:t>
      </w:r>
    </w:p>
    <w:p w14:paraId="279471AA">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A.企业销售商品收到商业汇票</w:t>
      </w:r>
    </w:p>
    <w:p w14:paraId="385CF87B">
      <w:pPr>
        <w:spacing w:line="360" w:lineRule="auto"/>
        <w:rPr>
          <w:rFonts w:hint="eastAsia" w:ascii="宋体" w:hAnsi="宋体" w:eastAsia="宋体" w:cs="宋体"/>
          <w:sz w:val="24"/>
          <w:szCs w:val="24"/>
        </w:rPr>
      </w:pPr>
      <w:r>
        <w:rPr>
          <w:rFonts w:hint="eastAsia" w:ascii="宋体" w:hAnsi="宋体" w:eastAsia="宋体" w:cs="宋体"/>
          <w:sz w:val="24"/>
          <w:szCs w:val="24"/>
        </w:rPr>
        <w:t>15.对于银行己入账而企业尚未入账的未达账款，企业应当（ ） 。</w:t>
      </w:r>
    </w:p>
    <w:p w14:paraId="67807C4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D.待有关结算凭证到达后入账</w:t>
      </w:r>
    </w:p>
    <w:p w14:paraId="1D5EE071">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16.原材料已经验收入库，月末结算凭证未到，应按材料合同价款估计入账。编制的会计分录是（ ）。 </w:t>
      </w:r>
    </w:p>
    <w:p w14:paraId="7B0FB73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 C.借：原材料 贷：应付账款</w:t>
      </w:r>
    </w:p>
    <w:p w14:paraId="5D46DA3C">
      <w:pPr>
        <w:spacing w:line="360" w:lineRule="auto"/>
        <w:rPr>
          <w:rFonts w:hint="eastAsia" w:ascii="宋体" w:hAnsi="宋体" w:eastAsia="宋体" w:cs="宋体"/>
          <w:sz w:val="24"/>
          <w:szCs w:val="24"/>
        </w:rPr>
      </w:pPr>
      <w:r>
        <w:rPr>
          <w:rFonts w:hint="eastAsia" w:ascii="宋体" w:hAnsi="宋体" w:eastAsia="宋体" w:cs="宋体"/>
          <w:sz w:val="24"/>
          <w:szCs w:val="24"/>
        </w:rPr>
        <w:t>17.某公司月初结存材料的计划成本为150万元，材料成本差异为超支10万元，本月购入材料的计划成本为250万元，材料成本差异为节约5万元，当月生产车间领用材料的计划成本为300万元，则生产车间领用材料的实际成本为（ ）万元。</w:t>
      </w:r>
    </w:p>
    <w:p w14:paraId="2F10088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 A.303.75</w:t>
      </w:r>
    </w:p>
    <w:p w14:paraId="3A336EA4">
      <w:pPr>
        <w:spacing w:line="360" w:lineRule="auto"/>
        <w:rPr>
          <w:rFonts w:hint="eastAsia" w:ascii="宋体" w:hAnsi="宋体" w:eastAsia="宋体" w:cs="宋体"/>
          <w:sz w:val="24"/>
          <w:szCs w:val="24"/>
        </w:rPr>
      </w:pPr>
      <w:r>
        <w:rPr>
          <w:rFonts w:hint="eastAsia" w:ascii="宋体" w:hAnsi="宋体" w:eastAsia="宋体" w:cs="宋体"/>
          <w:sz w:val="24"/>
          <w:szCs w:val="24"/>
        </w:rPr>
        <w:t>18.某商业企业采用售价金额核算法计算期末存货成本。本月月初存货成本为20000元，售价总额为30000元；本月购入存货成本为100000元，相应的售价总额为120000元；本月销售收入为100000元。该企业期末存货成本为（ ）元。</w:t>
      </w:r>
    </w:p>
    <w:p w14:paraId="197199E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C.40000</w:t>
      </w:r>
    </w:p>
    <w:p w14:paraId="4917127B">
      <w:pPr>
        <w:spacing w:line="360" w:lineRule="auto"/>
        <w:rPr>
          <w:rFonts w:hint="eastAsia" w:ascii="宋体" w:hAnsi="宋体" w:eastAsia="宋体" w:cs="宋体"/>
          <w:sz w:val="24"/>
          <w:szCs w:val="24"/>
        </w:rPr>
      </w:pPr>
      <w:r>
        <w:rPr>
          <w:rFonts w:hint="eastAsia" w:ascii="宋体" w:hAnsi="宋体" w:eastAsia="宋体" w:cs="宋体"/>
          <w:sz w:val="24"/>
          <w:szCs w:val="24"/>
        </w:rPr>
        <w:t>19.甲材料的实际成本为100万元，加工该存货至完工估计还需要发生成本60万元，估计销售费用和相关税费为6万元，估计该存货生产的产品的售价为240万元，则该材料的可变现净值为（ ）万元。</w:t>
      </w:r>
    </w:p>
    <w:p w14:paraId="2E7858E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B．174</w:t>
      </w:r>
    </w:p>
    <w:p w14:paraId="1017413D">
      <w:pPr>
        <w:spacing w:line="360" w:lineRule="auto"/>
        <w:rPr>
          <w:rFonts w:hint="eastAsia" w:ascii="宋体" w:hAnsi="宋体" w:eastAsia="宋体" w:cs="宋体"/>
          <w:sz w:val="24"/>
          <w:szCs w:val="24"/>
        </w:rPr>
      </w:pPr>
      <w:r>
        <w:rPr>
          <w:rFonts w:hint="eastAsia" w:ascii="宋体" w:hAnsi="宋体" w:eastAsia="宋体" w:cs="宋体"/>
          <w:sz w:val="24"/>
          <w:szCs w:val="24"/>
        </w:rPr>
        <w:t>20.20X3年12月31日乙存货的账面余值26000元，预计可变现净值23000元。20X4年12月31日该存货的账面余值未变，预计可变现净值为27000元。则20X4年末应冲减乙存货跌价准备（ ）元。</w:t>
      </w:r>
    </w:p>
    <w:p w14:paraId="3A9D3C8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 A.3000</w:t>
      </w:r>
    </w:p>
    <w:p w14:paraId="076E83FF">
      <w:pPr>
        <w:spacing w:line="360" w:lineRule="auto"/>
        <w:rPr>
          <w:rFonts w:hint="eastAsia" w:ascii="宋体" w:hAnsi="宋体" w:eastAsia="宋体" w:cs="宋体"/>
          <w:sz w:val="24"/>
          <w:szCs w:val="24"/>
        </w:rPr>
      </w:pPr>
      <w:r>
        <w:rPr>
          <w:rFonts w:hint="eastAsia" w:ascii="宋体" w:hAnsi="宋体" w:eastAsia="宋体" w:cs="宋体"/>
          <w:sz w:val="24"/>
          <w:szCs w:val="24"/>
        </w:rPr>
        <w:t>21.在可变现净值计量下，资产按照其正常对外销售所能收到现金或者现金等价物的金额扣减估计的销售费用后的金额计量。（ ）</w:t>
      </w:r>
    </w:p>
    <w:p w14:paraId="7DF3DEF5">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 B.错</w:t>
      </w:r>
    </w:p>
    <w:p w14:paraId="6916466D">
      <w:pPr>
        <w:spacing w:line="360" w:lineRule="auto"/>
        <w:rPr>
          <w:rFonts w:hint="eastAsia" w:ascii="宋体" w:hAnsi="宋体" w:eastAsia="宋体" w:cs="宋体"/>
          <w:sz w:val="24"/>
          <w:szCs w:val="24"/>
        </w:rPr>
      </w:pPr>
      <w:r>
        <w:rPr>
          <w:rFonts w:hint="eastAsia" w:ascii="宋体" w:hAnsi="宋体" w:eastAsia="宋体" w:cs="宋体"/>
          <w:sz w:val="24"/>
          <w:szCs w:val="24"/>
        </w:rPr>
        <w:t>22.按照重要性的要求，办公邮寄费30元钱，因金额小，可以不予核算。（ ）</w:t>
      </w:r>
    </w:p>
    <w:p w14:paraId="6A4D98A0">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 B.错</w:t>
      </w:r>
    </w:p>
    <w:p w14:paraId="6EE5F064">
      <w:pPr>
        <w:spacing w:line="360" w:lineRule="auto"/>
        <w:rPr>
          <w:rFonts w:hint="eastAsia" w:ascii="宋体" w:hAnsi="宋体" w:eastAsia="宋体" w:cs="宋体"/>
          <w:sz w:val="24"/>
          <w:szCs w:val="24"/>
        </w:rPr>
      </w:pPr>
      <w:r>
        <w:rPr>
          <w:rFonts w:hint="eastAsia" w:ascii="宋体" w:hAnsi="宋体" w:eastAsia="宋体" w:cs="宋体"/>
          <w:sz w:val="24"/>
          <w:szCs w:val="24"/>
        </w:rPr>
        <w:t>23.会计核算的可比性要求，企业不能变更会计核算方法（ ）</w:t>
      </w:r>
    </w:p>
    <w:p w14:paraId="02681370">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 B.错</w:t>
      </w:r>
    </w:p>
    <w:p w14:paraId="15CCF602">
      <w:pPr>
        <w:spacing w:line="360" w:lineRule="auto"/>
        <w:rPr>
          <w:rFonts w:hint="eastAsia" w:ascii="宋体" w:hAnsi="宋体" w:eastAsia="宋体" w:cs="宋体"/>
          <w:sz w:val="24"/>
          <w:szCs w:val="24"/>
        </w:rPr>
      </w:pPr>
      <w:r>
        <w:rPr>
          <w:rFonts w:hint="eastAsia" w:ascii="宋体" w:hAnsi="宋体" w:eastAsia="宋体" w:cs="宋体"/>
          <w:sz w:val="24"/>
          <w:szCs w:val="24"/>
        </w:rPr>
        <w:t>24.企业可以从现金收入中直接支付现金支出。</w:t>
      </w:r>
    </w:p>
    <w:p w14:paraId="7670AD33">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 B.错</w:t>
      </w:r>
    </w:p>
    <w:p w14:paraId="2839F0C3">
      <w:pPr>
        <w:spacing w:line="360" w:lineRule="auto"/>
        <w:rPr>
          <w:rFonts w:hint="eastAsia" w:ascii="宋体" w:hAnsi="宋体" w:eastAsia="宋体" w:cs="宋体"/>
          <w:sz w:val="24"/>
          <w:szCs w:val="24"/>
        </w:rPr>
      </w:pPr>
      <w:r>
        <w:rPr>
          <w:rFonts w:hint="eastAsia" w:ascii="宋体" w:hAnsi="宋体" w:eastAsia="宋体" w:cs="宋体"/>
          <w:sz w:val="24"/>
          <w:szCs w:val="24"/>
        </w:rPr>
        <w:t>25.银行承兑汇票的最终付款人是购货企业的开户银行。</w:t>
      </w:r>
    </w:p>
    <w:p w14:paraId="41D8C8B0">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 B.错</w:t>
      </w:r>
    </w:p>
    <w:p w14:paraId="59DBAA60">
      <w:pPr>
        <w:spacing w:line="360" w:lineRule="auto"/>
        <w:rPr>
          <w:rFonts w:hint="eastAsia" w:ascii="宋体" w:hAnsi="宋体" w:eastAsia="宋体" w:cs="宋体"/>
          <w:sz w:val="24"/>
          <w:szCs w:val="24"/>
        </w:rPr>
      </w:pPr>
      <w:r>
        <w:rPr>
          <w:rFonts w:hint="eastAsia" w:ascii="宋体" w:hAnsi="宋体" w:eastAsia="宋体" w:cs="宋体"/>
          <w:sz w:val="24"/>
          <w:szCs w:val="24"/>
        </w:rPr>
        <w:t>26.银行汇票和支票等结算方式，均应通过"其他货币资金”账户进行核算。</w:t>
      </w:r>
    </w:p>
    <w:p w14:paraId="3CAD9E77">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 B.错</w:t>
      </w:r>
    </w:p>
    <w:p w14:paraId="471709D8">
      <w:pPr>
        <w:spacing w:line="360" w:lineRule="auto"/>
        <w:rPr>
          <w:rFonts w:hint="eastAsia" w:ascii="宋体" w:hAnsi="宋体" w:eastAsia="宋体" w:cs="宋体"/>
          <w:sz w:val="24"/>
          <w:szCs w:val="24"/>
        </w:rPr>
      </w:pPr>
      <w:r>
        <w:rPr>
          <w:rFonts w:hint="eastAsia" w:ascii="宋体" w:hAnsi="宋体" w:eastAsia="宋体" w:cs="宋体"/>
          <w:sz w:val="24"/>
          <w:szCs w:val="24"/>
        </w:rPr>
        <w:t>27.某企业持有一张面值为100 000元，年利率8%的商业汇票，出票日为3月15日，期限为60天，则票据到期日为5月16日。</w:t>
      </w:r>
    </w:p>
    <w:p w14:paraId="07362AD7">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 B.错</w:t>
      </w:r>
    </w:p>
    <w:p w14:paraId="38938B39">
      <w:pPr>
        <w:spacing w:line="360" w:lineRule="auto"/>
        <w:rPr>
          <w:rFonts w:hint="eastAsia" w:ascii="宋体" w:hAnsi="宋体" w:eastAsia="宋体" w:cs="宋体"/>
          <w:sz w:val="24"/>
          <w:szCs w:val="24"/>
        </w:rPr>
      </w:pPr>
      <w:r>
        <w:rPr>
          <w:rFonts w:hint="eastAsia" w:ascii="宋体" w:hAnsi="宋体" w:eastAsia="宋体" w:cs="宋体"/>
          <w:sz w:val="24"/>
          <w:szCs w:val="24"/>
        </w:rPr>
        <w:t>28.某企业在2月15日销售产品一批，应收账款为11万元，为了及时收回货款，在合同中承诺给予购货方如下现金折扣条件：2/10，1/20，n/30。购货单位已于2月22日付款。该企业实际收到的金额为10万元。</w:t>
      </w:r>
    </w:p>
    <w:p w14:paraId="6DC04FDE">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 B.错</w:t>
      </w:r>
    </w:p>
    <w:p w14:paraId="24793CE5">
      <w:pPr>
        <w:spacing w:line="360" w:lineRule="auto"/>
        <w:rPr>
          <w:rFonts w:hint="eastAsia" w:ascii="宋体" w:hAnsi="宋体" w:eastAsia="宋体" w:cs="宋体"/>
          <w:sz w:val="24"/>
          <w:szCs w:val="24"/>
        </w:rPr>
      </w:pPr>
      <w:r>
        <w:rPr>
          <w:rFonts w:hint="eastAsia" w:ascii="宋体" w:hAnsi="宋体" w:eastAsia="宋体" w:cs="宋体"/>
          <w:sz w:val="24"/>
          <w:szCs w:val="24"/>
        </w:rPr>
        <w:t>29.</w:t>
      </w:r>
    </w:p>
    <w:p w14:paraId="5BF161E1">
      <w:pPr>
        <w:spacing w:line="360" w:lineRule="auto"/>
        <w:rPr>
          <w:rFonts w:hint="eastAsia" w:ascii="宋体" w:hAnsi="宋体" w:eastAsia="宋体" w:cs="宋体"/>
          <w:sz w:val="24"/>
          <w:szCs w:val="24"/>
        </w:rPr>
      </w:pPr>
      <w:r>
        <w:rPr>
          <w:rFonts w:hint="eastAsia" w:ascii="宋体" w:hAnsi="宋体" w:eastAsia="宋体" w:cs="宋体"/>
          <w:sz w:val="24"/>
          <w:szCs w:val="24"/>
        </w:rPr>
        <w:t>某企业应收账款年末余额为500000元，调整前"坏账准备”账户有贷方余额1000元，若按0.4%计提坏账准备，则应补提坏账准备2000元。</w:t>
      </w:r>
    </w:p>
    <w:p w14:paraId="1F439FDA">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 B.错</w:t>
      </w:r>
    </w:p>
    <w:p w14:paraId="2E1884EA">
      <w:pPr>
        <w:spacing w:line="360" w:lineRule="auto"/>
        <w:rPr>
          <w:rFonts w:hint="eastAsia" w:ascii="宋体" w:hAnsi="宋体" w:eastAsia="宋体" w:cs="宋体"/>
          <w:sz w:val="24"/>
          <w:szCs w:val="24"/>
        </w:rPr>
      </w:pPr>
      <w:r>
        <w:rPr>
          <w:rFonts w:hint="eastAsia" w:ascii="宋体" w:hAnsi="宋体" w:eastAsia="宋体" w:cs="宋体"/>
          <w:sz w:val="24"/>
          <w:szCs w:val="24"/>
        </w:rPr>
        <w:t>30.</w:t>
      </w:r>
    </w:p>
    <w:p w14:paraId="640A5323">
      <w:pPr>
        <w:spacing w:line="360" w:lineRule="auto"/>
        <w:rPr>
          <w:rFonts w:hint="eastAsia" w:ascii="宋体" w:hAnsi="宋体" w:eastAsia="宋体" w:cs="宋体"/>
          <w:sz w:val="24"/>
          <w:szCs w:val="24"/>
        </w:rPr>
      </w:pPr>
      <w:r>
        <w:rPr>
          <w:rFonts w:hint="eastAsia" w:ascii="宋体" w:hAnsi="宋体" w:eastAsia="宋体" w:cs="宋体"/>
          <w:sz w:val="24"/>
          <w:szCs w:val="24"/>
        </w:rPr>
        <w:t>某企业销售一批商品，开出的增值税专用发票上注明的价款为30万元，适用的增值税率为17%，为购货方代垫的运杂费1万元，款项尚未收回，该企业确认的应收账款为35.1万元。</w:t>
      </w:r>
    </w:p>
    <w:p w14:paraId="0BEFF43F">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 B.错</w:t>
      </w:r>
    </w:p>
    <w:p w14:paraId="633311B0">
      <w:pPr>
        <w:spacing w:line="360" w:lineRule="auto"/>
        <w:rPr>
          <w:rFonts w:hint="eastAsia" w:ascii="宋体" w:hAnsi="宋体" w:eastAsia="宋体" w:cs="宋体"/>
          <w:sz w:val="24"/>
          <w:szCs w:val="24"/>
        </w:rPr>
      </w:pPr>
      <w:r>
        <w:rPr>
          <w:rFonts w:hint="eastAsia" w:ascii="宋体" w:hAnsi="宋体" w:eastAsia="宋体" w:cs="宋体"/>
          <w:sz w:val="24"/>
          <w:szCs w:val="24"/>
        </w:rPr>
        <w:t>31.原材料按照实际成本计价时，会计核算上一般需要设置"原材料”和"材料采购”账户，并按照材料种类进行明细分类核算。</w:t>
      </w:r>
    </w:p>
    <w:p w14:paraId="3D6FC1DA">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 B.错</w:t>
      </w:r>
    </w:p>
    <w:p w14:paraId="361C2861">
      <w:pPr>
        <w:spacing w:line="360" w:lineRule="auto"/>
        <w:rPr>
          <w:rFonts w:hint="eastAsia" w:ascii="宋体" w:hAnsi="宋体" w:eastAsia="宋体" w:cs="宋体"/>
          <w:sz w:val="24"/>
          <w:szCs w:val="24"/>
        </w:rPr>
      </w:pPr>
      <w:r>
        <w:rPr>
          <w:rFonts w:hint="eastAsia" w:ascii="宋体" w:hAnsi="宋体" w:eastAsia="宋体" w:cs="宋体"/>
          <w:sz w:val="24"/>
          <w:szCs w:val="24"/>
        </w:rPr>
        <w:t>32.原材料按照计划成本计价时，"材料采购”账户用来核算企业库存的各种材料的计划成本。</w:t>
      </w:r>
    </w:p>
    <w:p w14:paraId="1B826CCF">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 B.错</w:t>
      </w:r>
    </w:p>
    <w:p w14:paraId="6816BF54">
      <w:pPr>
        <w:spacing w:line="360" w:lineRule="auto"/>
        <w:rPr>
          <w:rFonts w:hint="eastAsia" w:ascii="宋体" w:hAnsi="宋体" w:eastAsia="宋体" w:cs="宋体"/>
          <w:sz w:val="24"/>
          <w:szCs w:val="24"/>
        </w:rPr>
      </w:pPr>
      <w:r>
        <w:rPr>
          <w:rFonts w:hint="eastAsia" w:ascii="宋体" w:hAnsi="宋体" w:eastAsia="宋体" w:cs="宋体"/>
          <w:sz w:val="24"/>
          <w:szCs w:val="24"/>
        </w:rPr>
        <w:t>33.数量售价金额核算法是以售价金额反映商品增减变动及结存情况的核算方法。</w:t>
      </w:r>
    </w:p>
    <w:p w14:paraId="16C0FBB2">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 B.错</w:t>
      </w:r>
    </w:p>
    <w:p w14:paraId="14AEC547">
      <w:pPr>
        <w:spacing w:line="360" w:lineRule="auto"/>
        <w:rPr>
          <w:rFonts w:hint="eastAsia" w:ascii="宋体" w:hAnsi="宋体" w:eastAsia="宋体" w:cs="宋体"/>
          <w:sz w:val="24"/>
          <w:szCs w:val="24"/>
        </w:rPr>
      </w:pPr>
      <w:r>
        <w:rPr>
          <w:rFonts w:hint="eastAsia" w:ascii="宋体" w:hAnsi="宋体" w:eastAsia="宋体" w:cs="宋体"/>
          <w:sz w:val="24"/>
          <w:szCs w:val="24"/>
        </w:rPr>
        <w:t>34.</w:t>
      </w:r>
    </w:p>
    <w:p w14:paraId="7C62A436">
      <w:pPr>
        <w:spacing w:line="360" w:lineRule="auto"/>
        <w:rPr>
          <w:rFonts w:hint="eastAsia" w:ascii="宋体" w:hAnsi="宋体" w:eastAsia="宋体" w:cs="宋体"/>
          <w:sz w:val="24"/>
          <w:szCs w:val="24"/>
        </w:rPr>
      </w:pPr>
      <w:r>
        <w:rPr>
          <w:rFonts w:hint="eastAsia" w:ascii="宋体" w:hAnsi="宋体" w:eastAsia="宋体" w:cs="宋体"/>
          <w:sz w:val="24"/>
          <w:szCs w:val="24"/>
        </w:rPr>
        <w:t>对于随同商品出售但不单独计价的包装物的实际成本计入销售费用。</w:t>
      </w:r>
    </w:p>
    <w:p w14:paraId="50E4AA4E">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 A.对</w:t>
      </w:r>
    </w:p>
    <w:p w14:paraId="33348D69">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 35.资产负债表日，当存货成本高于可变现净值时，存货按可变现净值计量，同时按照成本高于可变现净值的差额计提存货跌价准备，计入当期损益。</w:t>
      </w:r>
    </w:p>
    <w:p w14:paraId="631857C8">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 A.对</w:t>
      </w:r>
    </w:p>
    <w:p w14:paraId="12B94358">
      <w:pPr>
        <w:spacing w:line="360" w:lineRule="auto"/>
        <w:rPr>
          <w:rFonts w:hint="eastAsia" w:ascii="宋体" w:hAnsi="宋体" w:eastAsia="宋体" w:cs="宋体"/>
          <w:sz w:val="24"/>
          <w:szCs w:val="24"/>
        </w:rPr>
      </w:pPr>
      <w:r>
        <w:rPr>
          <w:rFonts w:hint="eastAsia" w:ascii="宋体" w:hAnsi="宋体" w:eastAsia="宋体" w:cs="宋体"/>
          <w:sz w:val="24"/>
          <w:szCs w:val="24"/>
        </w:rPr>
        <w:t>36.会计核算的基本假设包括（）。</w:t>
      </w:r>
    </w:p>
    <w:p w14:paraId="2C0EC8AD">
      <w:pPr>
        <w:spacing w:line="360" w:lineRule="auto"/>
        <w:rPr>
          <w:rFonts w:hint="eastAsia" w:ascii="宋体" w:hAnsi="宋体" w:eastAsia="宋体" w:cs="宋体"/>
          <w:sz w:val="24"/>
          <w:szCs w:val="24"/>
        </w:rPr>
      </w:pPr>
      <w:bookmarkStart w:id="0" w:name="_GoBack"/>
      <w:bookmarkEnd w:id="0"/>
    </w:p>
    <w:p w14:paraId="5BF4E8CF">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 A.持续经营</w:t>
      </w:r>
    </w:p>
    <w:p w14:paraId="15C2DBF6">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 B.会计主体</w:t>
      </w:r>
    </w:p>
    <w:p w14:paraId="74498901">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 C.货币计量</w:t>
      </w:r>
    </w:p>
    <w:p w14:paraId="447B91EE">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 D.会计分期</w:t>
      </w:r>
    </w:p>
    <w:p w14:paraId="143AA38E">
      <w:pPr>
        <w:spacing w:line="360" w:lineRule="auto"/>
        <w:rPr>
          <w:rFonts w:hint="eastAsia" w:ascii="宋体" w:hAnsi="宋体" w:eastAsia="宋体" w:cs="宋体"/>
          <w:sz w:val="24"/>
          <w:szCs w:val="24"/>
        </w:rPr>
      </w:pPr>
      <w:r>
        <w:rPr>
          <w:rFonts w:hint="eastAsia" w:ascii="宋体" w:hAnsi="宋体" w:eastAsia="宋体" w:cs="宋体"/>
          <w:sz w:val="24"/>
          <w:szCs w:val="24"/>
        </w:rPr>
        <w:t>37.会计信息的使用者主要包括（ ）。</w:t>
      </w:r>
    </w:p>
    <w:p w14:paraId="1999CBA1">
      <w:pPr>
        <w:spacing w:line="360" w:lineRule="auto"/>
        <w:rPr>
          <w:rFonts w:hint="eastAsia" w:ascii="宋体" w:hAnsi="宋体" w:eastAsia="宋体" w:cs="宋体"/>
          <w:sz w:val="24"/>
          <w:szCs w:val="24"/>
        </w:rPr>
      </w:pPr>
    </w:p>
    <w:p w14:paraId="33F37C63">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 A.投资者</w:t>
      </w:r>
    </w:p>
    <w:p w14:paraId="03A073C4">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 B.债权人</w:t>
      </w:r>
    </w:p>
    <w:p w14:paraId="628AB7BA">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 C企业管理当局</w:t>
      </w:r>
    </w:p>
    <w:p w14:paraId="2FA56A7A">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 D.企业职工</w:t>
      </w:r>
    </w:p>
    <w:sectPr>
      <w:pgSz w:w="11906" w:h="16838"/>
      <w:pgMar w:top="1440" w:right="1416"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690"/>
    <w:rsid w:val="0007102E"/>
    <w:rsid w:val="002E353D"/>
    <w:rsid w:val="00582690"/>
    <w:rsid w:val="007E381C"/>
    <w:rsid w:val="00AE60DE"/>
    <w:rsid w:val="00AF41B1"/>
    <w:rsid w:val="00C70D83"/>
    <w:rsid w:val="00DF2719"/>
    <w:rsid w:val="00F41BC9"/>
    <w:rsid w:val="00F663D9"/>
    <w:rsid w:val="0A2C774D"/>
    <w:rsid w:val="787670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2209</Words>
  <Characters>2510</Characters>
  <Lines>20</Lines>
  <Paragraphs>5</Paragraphs>
  <TotalTime>22</TotalTime>
  <ScaleCrop>false</ScaleCrop>
  <LinksUpToDate>false</LinksUpToDate>
  <CharactersWithSpaces>2685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2022-12-06T03:07:00Z</dcterms:created>
  <dc:creator>AutoBVT</dc:creator>
  <cp:lastModifiedBy>李杰敏</cp:lastModifiedBy>
  <dcterms:modified xsi:type="dcterms:W3CDTF">2026-06-10T01:50:21Z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eyJoZGlkIjoiNzBmMDc5NmRjYzZiYTljYzc1OTA4M2I4MGM3OGUyMjgiLCJ1c2VySWQiOiIxMDA5OTc0OTcyIn0=</vt:lpwstr>
  </property>
  <property fmtid="{D5CDD505-2E9C-101B-9397-08002B2CF9AE}" pid="3" name="KSOProductBuildVer">
    <vt:lpwstr>2052-12.1.0.26375</vt:lpwstr>
  </property>
  <property fmtid="{D5CDD505-2E9C-101B-9397-08002B2CF9AE}" pid="4" name="ICV">
    <vt:lpwstr>FFF37A2FFA0F431CA3ACD242EDBC906A_12</vt:lpwstr>
  </property>
</Properties>
</file>