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F9E6EC">
      <w:pPr>
        <w:widowControl/>
        <w:jc w:val="center"/>
        <w:rPr>
          <w:rFonts w:ascii="黑体" w:hAnsi="黑体" w:eastAsia="黑体" w:cs="宋体"/>
          <w:b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国家开放大学广东分部</w:t>
      </w:r>
      <w:r>
        <w:rPr>
          <w:rFonts w:ascii="黑体" w:hAnsi="黑体" w:eastAsia="黑体" w:cs="Times New Roman"/>
          <w:b/>
          <w:color w:val="000000"/>
          <w:kern w:val="0"/>
          <w:sz w:val="28"/>
          <w:szCs w:val="28"/>
        </w:rPr>
        <w:t>2024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年春季学期考试工作培训测试</w:t>
      </w:r>
    </w:p>
    <w:p w14:paraId="20964E3F">
      <w:pPr>
        <w:widowControl/>
        <w:spacing w:beforeLines="50" w:afterLines="50"/>
        <w:jc w:val="center"/>
        <w:rPr>
          <w:rFonts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（考务人员版）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217C3C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2840" w:type="dxa"/>
            <w:vAlign w:val="center"/>
          </w:tcPr>
          <w:p w14:paraId="04C682EF">
            <w:pPr>
              <w:widowControl/>
              <w:jc w:val="center"/>
              <w:rPr>
                <w:rFonts w:hint="eastAsia" w:ascii="瀹嬩綋" w:hAnsi="宋体" w:eastAsia="瀹嬩綋" w:cs="宋体"/>
                <w:color w:val="000000"/>
                <w:kern w:val="0"/>
                <w:szCs w:val="21"/>
              </w:rPr>
            </w:pPr>
            <w:r>
              <w:rPr>
                <w:rFonts w:hint="eastAsia" w:ascii="瀹嬩綋" w:eastAsia="瀹嬩綋"/>
                <w:color w:val="000000"/>
                <w:sz w:val="22"/>
              </w:rPr>
              <w:t>分校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(</w:t>
            </w:r>
            <w:r>
              <w:rPr>
                <w:rFonts w:hint="eastAsia" w:ascii="瀹嬩綋" w:eastAsia="瀹嬩綋"/>
                <w:color w:val="000000"/>
                <w:sz w:val="22"/>
              </w:rPr>
              <w:t>学院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)</w:t>
            </w:r>
            <w:r>
              <w:rPr>
                <w:rFonts w:hint="eastAsia" w:ascii="瀹嬩綋" w:eastAsia="瀹嬩綋"/>
                <w:color w:val="000000"/>
                <w:sz w:val="22"/>
              </w:rPr>
              <w:t>、考点</w:t>
            </w:r>
          </w:p>
        </w:tc>
        <w:tc>
          <w:tcPr>
            <w:tcW w:w="2841" w:type="dxa"/>
            <w:vAlign w:val="center"/>
          </w:tcPr>
          <w:p w14:paraId="1DDCA3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瀹嬩綋" w:hAnsi="宋体" w:eastAsia="瀹嬩綋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841" w:type="dxa"/>
            <w:vAlign w:val="center"/>
          </w:tcPr>
          <w:p w14:paraId="4F09F5C8">
            <w:pPr>
              <w:widowControl/>
              <w:jc w:val="center"/>
              <w:rPr>
                <w:rFonts w:hint="eastAsia" w:ascii="瀹嬩綋" w:hAnsi="宋体" w:eastAsia="瀹嬩綋" w:cs="宋体"/>
                <w:color w:val="000000"/>
                <w:kern w:val="0"/>
                <w:szCs w:val="21"/>
              </w:rPr>
            </w:pPr>
            <w:r>
              <w:rPr>
                <w:rFonts w:hint="eastAsia" w:ascii="瀹嬩綋" w:hAnsi="宋体" w:eastAsia="瀹嬩綋" w:cs="宋体"/>
                <w:color w:val="000000"/>
                <w:kern w:val="0"/>
                <w:sz w:val="22"/>
              </w:rPr>
              <w:t>得分</w:t>
            </w:r>
          </w:p>
        </w:tc>
      </w:tr>
      <w:tr w14:paraId="7AE709D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2840" w:type="dxa"/>
            <w:vAlign w:val="center"/>
          </w:tcPr>
          <w:p w14:paraId="36AD2E73">
            <w:pPr>
              <w:widowControl/>
              <w:jc w:val="center"/>
              <w:rPr>
                <w:rFonts w:hint="eastAsia" w:ascii="瀹嬩綋" w:hAnsi="宋体" w:eastAsia="瀹嬩綋" w:cs="宋体"/>
                <w:color w:val="000000"/>
                <w:kern w:val="0"/>
                <w:szCs w:val="21"/>
              </w:rPr>
            </w:pPr>
          </w:p>
        </w:tc>
        <w:tc>
          <w:tcPr>
            <w:tcW w:w="2841" w:type="dxa"/>
            <w:vAlign w:val="center"/>
          </w:tcPr>
          <w:p w14:paraId="65AE6ADC">
            <w:pPr>
              <w:widowControl/>
              <w:jc w:val="center"/>
              <w:rPr>
                <w:rFonts w:hint="eastAsia" w:ascii="瀹嬩綋" w:hAnsi="宋体" w:eastAsia="瀹嬩綋" w:cs="宋体"/>
                <w:color w:val="000000"/>
                <w:kern w:val="0"/>
                <w:szCs w:val="21"/>
              </w:rPr>
            </w:pPr>
          </w:p>
        </w:tc>
        <w:tc>
          <w:tcPr>
            <w:tcW w:w="2841" w:type="dxa"/>
            <w:vAlign w:val="center"/>
          </w:tcPr>
          <w:p w14:paraId="0AFAD108">
            <w:pPr>
              <w:widowControl/>
              <w:jc w:val="center"/>
              <w:rPr>
                <w:rFonts w:hint="eastAsia" w:ascii="瀹嬩綋" w:hAnsi="宋体" w:eastAsia="瀹嬩綋" w:cs="宋体"/>
                <w:color w:val="000000"/>
                <w:kern w:val="0"/>
                <w:szCs w:val="21"/>
              </w:rPr>
            </w:pPr>
          </w:p>
        </w:tc>
      </w:tr>
    </w:tbl>
    <w:p w14:paraId="0A517902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 w14:paraId="17D05563">
      <w:pPr>
        <w:jc w:val="left"/>
        <w:rPr>
          <w:rFonts w:hint="eastAsia" w:ascii="瀹嬩綋" w:hAnsi="宋体" w:eastAsia="瀹嬩綋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瀹嬩綋" w:hAnsi="宋体" w:eastAsia="瀹嬩綋" w:cs="宋体"/>
          <w:b/>
          <w:bCs/>
          <w:color w:val="000000"/>
          <w:kern w:val="0"/>
          <w:sz w:val="24"/>
          <w:szCs w:val="24"/>
        </w:rPr>
        <w:t>一、不定项选择题（每题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>10</w:t>
      </w:r>
      <w:r>
        <w:rPr>
          <w:rFonts w:hint="eastAsia" w:ascii="瀹嬩綋" w:hAnsi="宋体" w:eastAsia="瀹嬩綋" w:cs="宋体"/>
          <w:b/>
          <w:bCs/>
          <w:color w:val="000000"/>
          <w:kern w:val="0"/>
          <w:sz w:val="24"/>
          <w:szCs w:val="24"/>
        </w:rPr>
        <w:t>分）</w:t>
      </w:r>
    </w:p>
    <w:p w14:paraId="188785E9">
      <w:pPr>
        <w:widowControl/>
        <w:spacing w:line="360" w:lineRule="auto"/>
        <w:jc w:val="left"/>
        <w:rPr>
          <w:rFonts w:hint="eastAsia" w:cs="宋体" w:asciiTheme="minorEastAsia" w:hAnsiTheme="minorEastAsia"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b/>
          <w:color w:val="000000"/>
          <w:kern w:val="0"/>
          <w:sz w:val="24"/>
          <w:szCs w:val="24"/>
        </w:rPr>
        <w:t>1.</w:t>
      </w: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</w:rPr>
        <w:t>以下关于考务工作相关描述正确的有？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（    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>ABD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      ） </w:t>
      </w:r>
    </w:p>
    <w:p w14:paraId="357A1531">
      <w:pPr>
        <w:widowControl/>
        <w:spacing w:line="360" w:lineRule="auto"/>
        <w:jc w:val="left"/>
        <w:rPr>
          <w:rFonts w:hint="eastAsia" w:cs="宋体" w:asciiTheme="minorEastAsia" w:hAnsiTheme="minorEastAsia"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color w:val="000000"/>
          <w:kern w:val="0"/>
          <w:sz w:val="24"/>
          <w:szCs w:val="24"/>
        </w:rPr>
        <w:t>A.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考务人员在账号使用过程中不得随意更改数据 </w:t>
      </w:r>
    </w:p>
    <w:p w14:paraId="65B91296">
      <w:pPr>
        <w:widowControl/>
        <w:spacing w:line="360" w:lineRule="auto"/>
        <w:jc w:val="left"/>
        <w:rPr>
          <w:rFonts w:hint="eastAsia" w:cs="宋体" w:asciiTheme="minorEastAsia" w:hAnsiTheme="minorEastAsia"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color w:val="000000"/>
          <w:kern w:val="0"/>
          <w:sz w:val="24"/>
          <w:szCs w:val="24"/>
        </w:rPr>
        <w:t>B.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考务人员有义务对系统中学生信息和各类数据做好保密工作 </w:t>
      </w:r>
    </w:p>
    <w:p w14:paraId="3DC07BC4">
      <w:pPr>
        <w:widowControl/>
        <w:spacing w:line="360" w:lineRule="auto"/>
        <w:jc w:val="left"/>
        <w:rPr>
          <w:rFonts w:hint="eastAsia" w:cs="宋体" w:asciiTheme="minorEastAsia" w:hAnsiTheme="minorEastAsia"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color w:val="000000"/>
          <w:kern w:val="0"/>
          <w:sz w:val="24"/>
          <w:szCs w:val="24"/>
        </w:rPr>
        <w:t>C.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可以随意将自己的账号借给别人使用 </w:t>
      </w:r>
    </w:p>
    <w:p w14:paraId="49925C23">
      <w:pPr>
        <w:widowControl/>
        <w:spacing w:line="360" w:lineRule="auto"/>
        <w:jc w:val="left"/>
        <w:rPr>
          <w:rFonts w:hint="eastAsia" w:cs="宋体" w:asciiTheme="minorEastAsia" w:hAnsiTheme="minorEastAsia"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color w:val="000000"/>
          <w:kern w:val="0"/>
          <w:sz w:val="24"/>
          <w:szCs w:val="24"/>
        </w:rPr>
        <w:t>D.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涉密计算机、纸质试卷必须存放在具有安全防盗功能的保密室中 </w:t>
      </w:r>
    </w:p>
    <w:p w14:paraId="3C41BB0A">
      <w:pPr>
        <w:widowControl/>
        <w:spacing w:line="360" w:lineRule="auto"/>
        <w:jc w:val="left"/>
        <w:rPr>
          <w:rFonts w:hint="eastAsia" w:cs="宋体" w:asciiTheme="minorEastAsia" w:hAnsiTheme="minorEastAsia"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b/>
          <w:color w:val="000000"/>
          <w:kern w:val="0"/>
          <w:sz w:val="24"/>
          <w:szCs w:val="24"/>
        </w:rPr>
        <w:t>2.</w:t>
      </w: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</w:rPr>
        <w:t>试卷保密期间须重点检查以下哪些内容？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（    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>ABCD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    ） </w:t>
      </w:r>
    </w:p>
    <w:p w14:paraId="3298F871">
      <w:pPr>
        <w:widowControl/>
        <w:spacing w:line="360" w:lineRule="auto"/>
        <w:jc w:val="left"/>
        <w:rPr>
          <w:rFonts w:hint="eastAsia" w:cs="宋体" w:asciiTheme="minorEastAsia" w:hAnsiTheme="minorEastAsia"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color w:val="000000"/>
          <w:kern w:val="0"/>
          <w:sz w:val="24"/>
          <w:szCs w:val="24"/>
        </w:rPr>
        <w:t>A.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保密室是否加装防盗门窗，保密室门和防盗门钥匙是否由两人分别保管，开启 时是否有两人同时在场。 </w:t>
      </w:r>
    </w:p>
    <w:p w14:paraId="4BBE4132">
      <w:pPr>
        <w:widowControl/>
        <w:spacing w:line="360" w:lineRule="auto"/>
        <w:jc w:val="left"/>
        <w:rPr>
          <w:rFonts w:hint="eastAsia" w:cs="宋体" w:asciiTheme="minorEastAsia" w:hAnsiTheme="minorEastAsia"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color w:val="000000"/>
          <w:kern w:val="0"/>
          <w:sz w:val="24"/>
          <w:szCs w:val="24"/>
        </w:rPr>
        <w:t>B.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试卷存放期间是否有专人昼夜值守。 </w:t>
      </w:r>
    </w:p>
    <w:p w14:paraId="188355FC">
      <w:pPr>
        <w:widowControl/>
        <w:spacing w:line="360" w:lineRule="auto"/>
        <w:jc w:val="left"/>
        <w:rPr>
          <w:rFonts w:hint="eastAsia" w:cs="宋体" w:asciiTheme="minorEastAsia" w:hAnsiTheme="minorEastAsia"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color w:val="000000"/>
          <w:kern w:val="0"/>
          <w:sz w:val="24"/>
          <w:szCs w:val="24"/>
        </w:rPr>
        <w:t>C.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保密室内试卷袋是否完好无损、有无启封现象，保密室领、发、存试卷数是否 相符。 </w:t>
      </w:r>
    </w:p>
    <w:p w14:paraId="53B0E112">
      <w:pPr>
        <w:widowControl/>
        <w:spacing w:line="360" w:lineRule="auto"/>
        <w:jc w:val="left"/>
        <w:rPr>
          <w:rFonts w:hint="eastAsia" w:cs="宋体" w:asciiTheme="minorEastAsia" w:hAnsiTheme="minorEastAsia"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color w:val="000000"/>
          <w:kern w:val="0"/>
          <w:sz w:val="24"/>
          <w:szCs w:val="24"/>
        </w:rPr>
        <w:t>D.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试卷出、入库是否有交接手续和相关记录。 </w:t>
      </w:r>
    </w:p>
    <w:p w14:paraId="1283909A">
      <w:pPr>
        <w:widowControl/>
        <w:spacing w:line="360" w:lineRule="auto"/>
        <w:jc w:val="left"/>
        <w:rPr>
          <w:rFonts w:hint="eastAsia" w:cs="宋体" w:asciiTheme="minorEastAsia" w:hAnsiTheme="minorEastAsia"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b/>
          <w:color w:val="000000"/>
          <w:kern w:val="0"/>
          <w:sz w:val="24"/>
          <w:szCs w:val="24"/>
        </w:rPr>
        <w:t>3.</w:t>
      </w: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</w:rPr>
        <w:t>对于考试期间考点布置，下列描述正确的有。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（    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>ABD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    ） </w:t>
      </w:r>
    </w:p>
    <w:p w14:paraId="0112AD4E">
      <w:pPr>
        <w:widowControl/>
        <w:spacing w:line="360" w:lineRule="auto"/>
        <w:jc w:val="left"/>
        <w:rPr>
          <w:rFonts w:hint="eastAsia" w:cs="宋体" w:asciiTheme="minorEastAsia" w:hAnsiTheme="minorEastAsia"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color w:val="000000"/>
          <w:kern w:val="0"/>
          <w:sz w:val="24"/>
          <w:szCs w:val="24"/>
        </w:rPr>
        <w:t>A.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考点须悬挂“国家开放大学全国统一考试</w:t>
      </w:r>
      <w:r>
        <w:rPr>
          <w:rFonts w:hint="eastAsia" w:cs="Times New Roman" w:asciiTheme="minorEastAsia" w:hAnsiTheme="minorEastAsia"/>
          <w:color w:val="000000"/>
          <w:kern w:val="0"/>
          <w:sz w:val="24"/>
          <w:szCs w:val="24"/>
        </w:rPr>
        <w:t>**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考点”标识。 </w:t>
      </w:r>
    </w:p>
    <w:p w14:paraId="6D24E945">
      <w:pPr>
        <w:widowControl/>
        <w:spacing w:line="360" w:lineRule="auto"/>
        <w:jc w:val="left"/>
        <w:rPr>
          <w:rFonts w:hint="eastAsia" w:cs="宋体" w:asciiTheme="minorEastAsia" w:hAnsiTheme="minorEastAsia"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color w:val="000000"/>
          <w:kern w:val="0"/>
          <w:sz w:val="24"/>
          <w:szCs w:val="24"/>
        </w:rPr>
        <w:t>B.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在考点醒目处张贴“考点平面图”“考场安排示意图”“考试时间安排表“。 </w:t>
      </w:r>
    </w:p>
    <w:p w14:paraId="79E295D2">
      <w:pPr>
        <w:spacing w:line="360" w:lineRule="auto"/>
        <w:jc w:val="left"/>
        <w:rPr>
          <w:rFonts w:hint="eastAsia"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color w:val="000000"/>
          <w:kern w:val="0"/>
          <w:sz w:val="24"/>
          <w:szCs w:val="24"/>
        </w:rPr>
        <w:t>C.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可以不用设置警戒线。</w:t>
      </w:r>
    </w:p>
    <w:p w14:paraId="4526BCD4"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Times New Roman" w:asciiTheme="minorEastAsia" w:hAnsiTheme="minorEastAsia"/>
          <w:color w:val="000000"/>
          <w:kern w:val="0"/>
          <w:sz w:val="24"/>
          <w:szCs w:val="24"/>
        </w:rPr>
        <w:t>D.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进出口处须安排专人把守。 </w:t>
      </w:r>
    </w:p>
    <w:p w14:paraId="686DCBA6"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Times New Roman" w:asciiTheme="minorEastAsia" w:hAnsiTheme="minorEastAsia"/>
          <w:b/>
          <w:color w:val="000000"/>
          <w:kern w:val="0"/>
          <w:sz w:val="24"/>
          <w:szCs w:val="24"/>
        </w:rPr>
        <w:t>4.</w:t>
      </w: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</w:rPr>
        <w:t>以下关于考场布置描述正确的有？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（      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>ABC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  ） </w:t>
      </w:r>
    </w:p>
    <w:p w14:paraId="516692C7"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Times New Roman" w:asciiTheme="minorEastAsia" w:hAnsiTheme="minorEastAsia"/>
          <w:color w:val="000000"/>
          <w:kern w:val="0"/>
          <w:sz w:val="24"/>
          <w:szCs w:val="24"/>
        </w:rPr>
        <w:t>A.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是否张贴考场号、考试科目、试卷号、考试时间等考场信息。 </w:t>
      </w:r>
    </w:p>
    <w:p w14:paraId="799BC9BC"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Times New Roman" w:asciiTheme="minorEastAsia" w:hAnsiTheme="minorEastAsia"/>
          <w:color w:val="000000"/>
          <w:kern w:val="0"/>
          <w:sz w:val="24"/>
          <w:szCs w:val="24"/>
        </w:rPr>
        <w:t>B.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考生座位是否单人、单桌、单行，课桌是否反向摆放，是否整洁、卫生、通风、 </w:t>
      </w:r>
    </w:p>
    <w:p w14:paraId="6A602D96"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采光好。 </w:t>
      </w:r>
    </w:p>
    <w:p w14:paraId="26557A7D"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Times New Roman" w:asciiTheme="minorEastAsia" w:hAnsiTheme="minorEastAsia"/>
          <w:color w:val="000000"/>
          <w:kern w:val="0"/>
          <w:sz w:val="24"/>
          <w:szCs w:val="24"/>
        </w:rPr>
        <w:t>C.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是否有供考生存放携带的书包、书籍、资料等物品的专放处。 </w:t>
      </w:r>
    </w:p>
    <w:p w14:paraId="430A47D2"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Times New Roman" w:asciiTheme="minorEastAsia" w:hAnsiTheme="minorEastAsia"/>
          <w:color w:val="000000"/>
          <w:kern w:val="0"/>
          <w:sz w:val="24"/>
          <w:szCs w:val="24"/>
        </w:rPr>
        <w:t>D.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可以不用检查考场布置。 </w:t>
      </w:r>
    </w:p>
    <w:p w14:paraId="66095ED2"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Times New Roman" w:asciiTheme="minorEastAsia" w:hAnsiTheme="minorEastAsia"/>
          <w:b/>
          <w:color w:val="000000"/>
          <w:kern w:val="0"/>
          <w:sz w:val="24"/>
          <w:szCs w:val="24"/>
        </w:rPr>
        <w:t>5.</w:t>
      </w: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</w:rPr>
        <w:t xml:space="preserve">省校下发考试文件后，考务工作人员须及时完成哪些工作？ 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(       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>CD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   )</w:t>
      </w:r>
    </w:p>
    <w:p w14:paraId="6EF19BF1"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Times New Roman" w:asciiTheme="minorEastAsia" w:hAnsiTheme="minorEastAsia"/>
          <w:color w:val="000000"/>
          <w:kern w:val="0"/>
          <w:sz w:val="24"/>
          <w:szCs w:val="24"/>
        </w:rPr>
        <w:t>A.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组织选课</w:t>
      </w:r>
      <w:r>
        <w:rPr>
          <w:rFonts w:cs="Times New Roman" w:asciiTheme="minorEastAsia" w:hAnsiTheme="minorEastAsia"/>
          <w:color w:val="000000"/>
          <w:kern w:val="0"/>
          <w:sz w:val="24"/>
          <w:szCs w:val="24"/>
        </w:rPr>
        <w:t xml:space="preserve"> B.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确认选课</w:t>
      </w:r>
      <w:r>
        <w:rPr>
          <w:rFonts w:cs="Times New Roman" w:asciiTheme="minorEastAsia" w:hAnsiTheme="minorEastAsia"/>
          <w:color w:val="000000"/>
          <w:kern w:val="0"/>
          <w:sz w:val="24"/>
          <w:szCs w:val="24"/>
        </w:rPr>
        <w:t xml:space="preserve"> C.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组织报考</w:t>
      </w:r>
      <w:r>
        <w:rPr>
          <w:rFonts w:cs="Times New Roman" w:asciiTheme="minorEastAsia" w:hAnsiTheme="minorEastAsia"/>
          <w:color w:val="000000"/>
          <w:kern w:val="0"/>
          <w:sz w:val="24"/>
          <w:szCs w:val="24"/>
        </w:rPr>
        <w:t xml:space="preserve"> D.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确认报考 </w:t>
      </w:r>
    </w:p>
    <w:p w14:paraId="79363878"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Times New Roman" w:asciiTheme="minorEastAsia" w:hAnsiTheme="minorEastAsia"/>
          <w:color w:val="000000"/>
          <w:kern w:val="0"/>
          <w:sz w:val="24"/>
          <w:szCs w:val="24"/>
        </w:rPr>
        <w:t>6.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新学期开学后，考务人员在第一时间必须做的考务工作有哪些？ (     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>BD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    )</w:t>
      </w:r>
    </w:p>
    <w:p w14:paraId="3AAD6F8E"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Times New Roman" w:asciiTheme="minorEastAsia" w:hAnsiTheme="minorEastAsia"/>
          <w:color w:val="000000"/>
          <w:kern w:val="0"/>
          <w:sz w:val="24"/>
          <w:szCs w:val="24"/>
        </w:rPr>
        <w:t>A.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查分查卷</w:t>
      </w:r>
      <w:r>
        <w:rPr>
          <w:rFonts w:cs="Times New Roman" w:asciiTheme="minorEastAsia" w:hAnsiTheme="minorEastAsia"/>
          <w:color w:val="000000"/>
          <w:kern w:val="0"/>
          <w:sz w:val="24"/>
          <w:szCs w:val="24"/>
        </w:rPr>
        <w:t xml:space="preserve"> B.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下发上学期考试成绩 </w:t>
      </w:r>
    </w:p>
    <w:p w14:paraId="12B5E38D"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Times New Roman" w:asciiTheme="minorEastAsia" w:hAnsiTheme="minorEastAsia"/>
          <w:color w:val="000000"/>
          <w:kern w:val="0"/>
          <w:sz w:val="24"/>
          <w:szCs w:val="24"/>
        </w:rPr>
        <w:t>C.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下发考试文件</w:t>
      </w:r>
      <w:r>
        <w:rPr>
          <w:rFonts w:cs="Times New Roman" w:asciiTheme="minorEastAsia" w:hAnsiTheme="minorEastAsia"/>
          <w:color w:val="000000"/>
          <w:kern w:val="0"/>
          <w:sz w:val="24"/>
          <w:szCs w:val="24"/>
        </w:rPr>
        <w:t xml:space="preserve"> D.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配合学籍的毕业审查工作 </w:t>
      </w:r>
    </w:p>
    <w:p w14:paraId="07130112"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24"/>
          <w:szCs w:val="24"/>
        </w:rPr>
        <w:t>二、判断题（每题</w:t>
      </w:r>
      <w:r>
        <w:rPr>
          <w:rFonts w:cs="Times New Roman" w:asciiTheme="minorEastAsia" w:hAnsiTheme="minorEastAsia"/>
          <w:b/>
          <w:bCs/>
          <w:color w:val="000000"/>
          <w:kern w:val="0"/>
          <w:sz w:val="24"/>
          <w:szCs w:val="24"/>
        </w:rPr>
        <w:t>10</w:t>
      </w:r>
      <w:r>
        <w:rPr>
          <w:rFonts w:hint="eastAsia" w:cs="宋体" w:asciiTheme="minorEastAsia" w:hAnsiTheme="minorEastAsia"/>
          <w:b/>
          <w:bCs/>
          <w:color w:val="000000"/>
          <w:kern w:val="0"/>
          <w:sz w:val="24"/>
          <w:szCs w:val="24"/>
        </w:rPr>
        <w:t xml:space="preserve">分） </w:t>
      </w:r>
    </w:p>
    <w:p w14:paraId="1C6D1A64"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Times New Roman" w:asciiTheme="minorEastAsia" w:hAnsiTheme="minorEastAsia"/>
          <w:color w:val="000000"/>
          <w:kern w:val="0"/>
          <w:sz w:val="24"/>
          <w:szCs w:val="24"/>
        </w:rPr>
        <w:t>1.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考务人员将成绩录入考务系统时务必遵循客观、公正原则，严禁随意录入考生 </w:t>
      </w:r>
    </w:p>
    <w:p w14:paraId="0F56EC2A"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成绩。（  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>√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  ） </w:t>
      </w:r>
    </w:p>
    <w:p w14:paraId="6D527CF8"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Times New Roman" w:asciiTheme="minorEastAsia" w:hAnsiTheme="minorEastAsia"/>
          <w:color w:val="000000"/>
          <w:kern w:val="0"/>
          <w:sz w:val="24"/>
          <w:szCs w:val="24"/>
        </w:rPr>
        <w:t>2.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开考</w:t>
      </w:r>
      <w:r>
        <w:rPr>
          <w:rFonts w:cs="Times New Roman" w:asciiTheme="minorEastAsia" w:hAnsiTheme="minorEastAsia"/>
          <w:color w:val="000000"/>
          <w:kern w:val="0"/>
          <w:sz w:val="24"/>
          <w:szCs w:val="24"/>
        </w:rPr>
        <w:t>30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分钟以后，须及时核对所有考场实考人数与人脸识别人数是否一致。 </w:t>
      </w:r>
    </w:p>
    <w:p w14:paraId="3B972C57"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（   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>×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 ） </w:t>
      </w:r>
    </w:p>
    <w:p w14:paraId="1D8766FA"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Times New Roman" w:asciiTheme="minorEastAsia" w:hAnsiTheme="minorEastAsia"/>
          <w:color w:val="000000"/>
          <w:kern w:val="0"/>
          <w:sz w:val="24"/>
          <w:szCs w:val="24"/>
        </w:rPr>
        <w:t>3.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对于考试人脸识别未通过的考生，直接申请主考核验后允许进入考场。（ 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>×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  ） </w:t>
      </w:r>
    </w:p>
    <w:p w14:paraId="7B556A46">
      <w:pPr>
        <w:spacing w:line="360" w:lineRule="auto"/>
        <w:jc w:val="left"/>
        <w:rPr>
          <w:rFonts w:hint="eastAsia"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cs="Times New Roman" w:asciiTheme="minorEastAsia" w:hAnsiTheme="minorEastAsia"/>
          <w:color w:val="000000"/>
          <w:kern w:val="0"/>
          <w:sz w:val="24"/>
          <w:szCs w:val="24"/>
        </w:rPr>
        <w:t>4.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考后核验标记须在省校规定的时间内完成。（   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>√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 ）</w:t>
      </w:r>
    </w:p>
    <w:p w14:paraId="03D71616">
      <w:pPr>
        <w:spacing w:line="360" w:lineRule="auto"/>
        <w:jc w:val="left"/>
        <w:rPr>
          <w:rFonts w:hint="eastAsia" w:cs="宋体" w:asciiTheme="minorEastAsia" w:hAnsiTheme="minorEastAsia"/>
          <w:color w:val="000000"/>
          <w:kern w:val="0"/>
          <w:sz w:val="24"/>
          <w:szCs w:val="24"/>
        </w:rPr>
      </w:pPr>
      <w:bookmarkStart w:id="0" w:name="_GoBack"/>
      <w:bookmarkEnd w:id="0"/>
    </w:p>
    <w:p w14:paraId="0A8F737D">
      <w:pPr>
        <w:spacing w:line="360" w:lineRule="auto"/>
        <w:jc w:val="left"/>
        <w:rPr>
          <w:rFonts w:hint="eastAsia" w:cs="宋体" w:asciiTheme="minorEastAsia" w:hAnsiTheme="minorEastAsia"/>
          <w:color w:val="000000"/>
          <w:kern w:val="0"/>
          <w:sz w:val="24"/>
          <w:szCs w:val="24"/>
        </w:rPr>
      </w:pPr>
    </w:p>
    <w:p w14:paraId="1C136525">
      <w:pPr>
        <w:spacing w:line="360" w:lineRule="auto"/>
        <w:jc w:val="left"/>
        <w:rPr>
          <w:rFonts w:hint="eastAsia" w:cs="宋体" w:asciiTheme="minorEastAsia" w:hAnsiTheme="minorEastAsia"/>
          <w:color w:val="000000"/>
          <w:kern w:val="0"/>
          <w:sz w:val="24"/>
          <w:szCs w:val="24"/>
        </w:rPr>
      </w:pPr>
    </w:p>
    <w:p w14:paraId="189E2B62">
      <w:pPr>
        <w:spacing w:line="360" w:lineRule="auto"/>
        <w:jc w:val="left"/>
        <w:rPr>
          <w:rFonts w:hint="eastAsia" w:cs="宋体" w:asciiTheme="minorEastAsia" w:hAnsiTheme="minorEastAsia"/>
          <w:color w:val="000000"/>
          <w:kern w:val="0"/>
          <w:sz w:val="24"/>
          <w:szCs w:val="24"/>
        </w:rPr>
      </w:pPr>
    </w:p>
    <w:p w14:paraId="680CC0C7">
      <w:pPr>
        <w:spacing w:line="360" w:lineRule="auto"/>
        <w:jc w:val="left"/>
        <w:rPr>
          <w:rFonts w:hint="eastAsia" w:cs="宋体" w:asciiTheme="minorEastAsia" w:hAnsiTheme="minorEastAsia"/>
          <w:color w:val="000000"/>
          <w:kern w:val="0"/>
          <w:sz w:val="24"/>
          <w:szCs w:val="24"/>
        </w:rPr>
      </w:pPr>
    </w:p>
    <w:p w14:paraId="577F535B">
      <w:pPr>
        <w:spacing w:line="360" w:lineRule="auto"/>
        <w:jc w:val="left"/>
        <w:rPr>
          <w:rFonts w:hint="eastAsia" w:cs="宋体" w:asciiTheme="minorEastAsia" w:hAnsiTheme="minorEastAsia"/>
          <w:color w:val="000000"/>
          <w:kern w:val="0"/>
          <w:sz w:val="24"/>
          <w:szCs w:val="24"/>
        </w:rPr>
      </w:pPr>
    </w:p>
    <w:p w14:paraId="083682C7">
      <w:pPr>
        <w:spacing w:line="360" w:lineRule="auto"/>
        <w:jc w:val="left"/>
        <w:rPr>
          <w:rFonts w:hint="eastAsia" w:cs="宋体" w:asciiTheme="minorEastAsia" w:hAnsiTheme="minorEastAsia"/>
          <w:color w:val="000000"/>
          <w:kern w:val="0"/>
          <w:sz w:val="24"/>
          <w:szCs w:val="24"/>
        </w:rPr>
      </w:pPr>
    </w:p>
    <w:p w14:paraId="4779FAAB">
      <w:pPr>
        <w:spacing w:line="360" w:lineRule="auto"/>
        <w:jc w:val="left"/>
        <w:rPr>
          <w:rFonts w:hint="eastAsia" w:cs="宋体" w:asciiTheme="minorEastAsia" w:hAnsiTheme="minorEastAsia"/>
          <w:color w:val="000000"/>
          <w:kern w:val="0"/>
          <w:sz w:val="24"/>
          <w:szCs w:val="24"/>
        </w:rPr>
      </w:pPr>
    </w:p>
    <w:tbl>
      <w:tblPr>
        <w:tblStyle w:val="3"/>
        <w:tblW w:w="0" w:type="auto"/>
        <w:tblInd w:w="166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4"/>
      </w:tblGrid>
      <w:tr w14:paraId="291442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6854" w:type="dxa"/>
            <w:vAlign w:val="center"/>
          </w:tcPr>
          <w:p w14:paraId="734731E8"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000000"/>
                <w:kern w:val="0"/>
                <w:sz w:val="28"/>
                <w:szCs w:val="28"/>
              </w:rPr>
              <w:t>考核结果</w:t>
            </w:r>
            <w:r>
              <w:rPr>
                <w:rFonts w:hint="eastAsia" w:ascii="瀹嬩綋" w:hAnsi="宋体" w:eastAsia="瀹嬩綋" w:cs="宋体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Calibri" w:hAnsi="Calibri" w:eastAsia="宋体" w:cs="宋体"/>
                <w:color w:val="000000"/>
                <w:kern w:val="0"/>
                <w:sz w:val="28"/>
                <w:szCs w:val="28"/>
              </w:rPr>
              <w:t xml:space="preserve">80 </w:t>
            </w:r>
            <w:r>
              <w:rPr>
                <w:rFonts w:hint="eastAsia" w:ascii="瀹嬩綋" w:hAnsi="宋体" w:eastAsia="瀹嬩綋" w:cs="宋体"/>
                <w:color w:val="000000"/>
                <w:kern w:val="0"/>
                <w:sz w:val="28"/>
                <w:szCs w:val="28"/>
              </w:rPr>
              <w:t xml:space="preserve">分及以上合格，考核通过，请在□打√ </w:t>
            </w:r>
          </w:p>
          <w:p w14:paraId="3F68A522">
            <w:pPr>
              <w:spacing w:line="360" w:lineRule="auto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="瀹嬩綋" w:hAnsi="宋体" w:eastAsia="瀹嬩綋" w:cs="宋体"/>
                <w:color w:val="000000"/>
                <w:kern w:val="0"/>
                <w:sz w:val="28"/>
                <w:szCs w:val="28"/>
              </w:rPr>
              <w:t>□考核通过，同意上岗    □考核不通过，重新考核</w:t>
            </w:r>
          </w:p>
        </w:tc>
      </w:tr>
    </w:tbl>
    <w:p w14:paraId="545B27C8">
      <w:pPr>
        <w:spacing w:line="360" w:lineRule="auto"/>
        <w:jc w:val="right"/>
        <w:rPr>
          <w:rFonts w:hint="eastAsia"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xNWQ5YTM4MTEwNDllMTU2MDZhMDY2OTFlMTNlYzgifQ=="/>
  </w:docVars>
  <w:rsids>
    <w:rsidRoot w:val="00B3337D"/>
    <w:rsid w:val="002279F2"/>
    <w:rsid w:val="00761AD0"/>
    <w:rsid w:val="00B0654D"/>
    <w:rsid w:val="00B3337D"/>
    <w:rsid w:val="00BE2B63"/>
    <w:rsid w:val="00FD141E"/>
    <w:rsid w:val="503B1C72"/>
    <w:rsid w:val="6A08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859</Words>
  <Characters>912</Characters>
  <Lines>7</Lines>
  <Paragraphs>2</Paragraphs>
  <TotalTime>44</TotalTime>
  <ScaleCrop>false</ScaleCrop>
  <LinksUpToDate>false</LinksUpToDate>
  <CharactersWithSpaces>1024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2024-06-21T07:43:00Z</dcterms:created>
  <dc:creator>AutoBVT</dc:creator>
  <cp:lastModifiedBy>win300</cp:lastModifiedBy>
  <dcterms:modified xsi:type="dcterms:W3CDTF">2024-06-21T08:52:02Z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2C40BEE6E1384DC18F06A73F85187339_12</vt:lpwstr>
  </property>
</Properties>
</file>